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2000" w:after="2000"/>
      </w:pPr>
    </w:p>
    <w:p>
      <w:pPr>
        <w:spacing w:after="100"/>
        <w:jc w:val="center"/>
      </w:pPr>
      <w:r>
        <w:rPr>
          <w:rFonts w:ascii="Arial" w:cs="Arial" w:eastAsia="Arial" w:hAnsi="Arial"/>
          <w:b/>
          <w:bCs/>
          <w:color w:val="1A5276"/>
          <w:sz w:val="56"/>
          <w:szCs w:val="56"/>
        </w:rPr>
        <w:t xml:space="preserve">IGNY8</w:t>
      </w:r>
    </w:p>
    <w:p>
      <w:pPr>
        <w:spacing w:after="200"/>
        <w:jc w:val="center"/>
      </w:pPr>
      <w:r>
        <w:rPr>
          <w:rFonts w:ascii="Arial" w:cs="Arial" w:eastAsia="Arial" w:hAnsi="Arial"/>
          <w:color w:val="666666"/>
          <w:sz w:val="24"/>
          <w:szCs w:val="24"/>
        </w:rPr>
        <w:t xml:space="preserve">AI-Powered SEO Content Platform</w:t>
      </w:r>
    </w:p>
    <w:p>
      <w:pPr>
        <w:pBdr>
          <w:bottom w:val="single" w:color="2E86C1" w:sz="2" w:space="8"/>
        </w:pBdr>
        <w:spacing w:after="400"/>
        <w:jc w:val="center"/>
      </w:pPr>
    </w:p>
    <w:p>
      <w:pPr>
        <w:spacing w:after="80"/>
        <w:jc w:val="center"/>
      </w:pPr>
      <w:r>
        <w:rPr>
          <w:rFonts w:ascii="Arial" w:cs="Arial" w:eastAsia="Arial" w:hAnsi="Arial"/>
          <w:b/>
          <w:bCs/>
          <w:color w:val="000000"/>
          <w:sz w:val="36"/>
          <w:szCs w:val="36"/>
        </w:rPr>
        <w:t xml:space="preserve">Rich Schema &amp; SERP Enhancement Module</w:t>
      </w:r>
    </w:p>
    <w:p>
      <w:pPr>
        <w:spacing w:after="80"/>
        <w:jc w:val="center"/>
      </w:pPr>
      <w:r>
        <w:rPr>
          <w:rFonts w:ascii="Arial" w:cs="Arial" w:eastAsia="Arial" w:hAnsi="Arial"/>
          <w:color w:val="666666"/>
          <w:sz w:val="24"/>
          <w:szCs w:val="24"/>
        </w:rPr>
        <w:t xml:space="preserve">Technical Implementation &amp; Strategy Document</w:t>
      </w:r>
    </w:p>
    <w:p>
      <w:pPr>
        <w:spacing w:before="400" w:after="400"/>
      </w:pPr>
    </w:p>
    <w:p>
      <w:pPr>
        <w:spacing w:after="60"/>
        <w:jc w:val="center"/>
      </w:pPr>
      <w:r>
        <w:rPr>
          <w:rFonts w:ascii="Arial" w:cs="Arial" w:eastAsia="Arial" w:hAnsi="Arial"/>
          <w:color w:val="2E86C1"/>
          <w:sz w:val="22"/>
          <w:szCs w:val="22"/>
        </w:rPr>
        <w:t xml:space="preserve">Prepared by: Alorig Systems</w:t>
      </w:r>
    </w:p>
    <w:p>
      <w:pPr>
        <w:spacing w:after="60"/>
        <w:jc w:val="center"/>
      </w:pPr>
      <w:r>
        <w:rPr>
          <w:rFonts w:ascii="Arial" w:cs="Arial" w:eastAsia="Arial" w:hAnsi="Arial"/>
          <w:color w:val="666666"/>
          <w:sz w:val="20"/>
          <w:szCs w:val="20"/>
        </w:rPr>
        <w:t xml:space="preserve">Version 1.0  |  March 2026</w:t>
      </w:r>
    </w:p>
    <w:p>
      <w:pPr>
        <w:jc w:val="center"/>
      </w:pPr>
      <w:r>
        <w:rPr>
          <w:rFonts w:ascii="Arial" w:cs="Arial" w:eastAsia="Arial" w:hAnsi="Arial"/>
          <w:b/>
          <w:bCs/>
          <w:color w:val="E74C3C"/>
          <w:sz w:val="18"/>
          <w:szCs w:val="18"/>
        </w:rPr>
        <w:t xml:space="preserve">CONFIDENTIAL — Internal Product Strategy</w:t>
      </w:r>
    </w:p>
    <w:p>
      <w:r>
        <w:br w:type="page"/>
      </w:r>
    </w:p>
    <w:p>
      <w:pPr>
        <w:pStyle w:val="Heading1"/>
        <w:spacing w:before="360" w:after="200"/>
      </w:pPr>
      <w:r>
        <w:rPr>
          <w:rFonts w:ascii="Arial" w:cs="Arial" w:eastAsia="Arial" w:hAnsi="Arial"/>
          <w:b/>
          <w:bCs/>
          <w:color w:val="1A5276"/>
          <w:sz w:val="32"/>
          <w:szCs w:val="32"/>
        </w:rPr>
        <w:t xml:space="preserve">1. Executive Summary</w:t>
      </w:r>
    </w:p>
    <w:p>
      <w:pPr>
        <w:spacing w:after="160"/>
      </w:pPr>
      <w:r>
        <w:rPr>
          <w:rFonts w:ascii="Arial" w:cs="Arial" w:eastAsia="Arial" w:hAnsi="Arial"/>
          <w:color w:val="333333"/>
          <w:sz w:val="21"/>
          <w:szCs w:val="21"/>
        </w:rPr>
        <w:t xml:space="preserve">This document defines the </w:t>
      </w:r>
      <w:r>
        <w:rPr>
          <w:rFonts w:ascii="Arial" w:cs="Arial" w:eastAsia="Arial" w:hAnsi="Arial"/>
          <w:b/>
          <w:bCs/>
          <w:color w:val="333333"/>
          <w:sz w:val="21"/>
          <w:szCs w:val="21"/>
        </w:rPr>
        <w:t xml:space="preserve">Rich Schema &amp; SERP Enhancement Module</w:t>
      </w:r>
      <w:r>
        <w:rPr>
          <w:rFonts w:ascii="Arial" w:cs="Arial" w:eastAsia="Arial" w:hAnsi="Arial"/>
          <w:color w:val="333333"/>
          <w:sz w:val="21"/>
          <w:szCs w:val="21"/>
        </w:rPr>
        <w:t xml:space="preserve"> for IGNY8 — a set of automated and semi-automated features that inject structured data markup and on-page SEO elements into content </w:t>
      </w:r>
      <w:r>
        <w:rPr>
          <w:rFonts w:ascii="Arial" w:cs="Arial" w:eastAsia="Arial" w:hAnsi="Arial"/>
          <w:b/>
          <w:bCs/>
          <w:i/>
          <w:iCs/>
          <w:color w:val="333333"/>
          <w:sz w:val="21"/>
          <w:szCs w:val="21"/>
        </w:rPr>
        <w:t xml:space="preserve">without rewriting the core body text</w:t>
      </w:r>
      <w:r>
        <w:rPr>
          <w:rFonts w:ascii="Arial" w:cs="Arial" w:eastAsia="Arial" w:hAnsi="Arial"/>
          <w:color w:val="333333"/>
          <w:sz w:val="21"/>
          <w:szCs w:val="21"/>
        </w:rPr>
        <w:t xml:space="preserve">. These enhancements target Google’s rich result eligibility, featured snippet capture, and overall SERP real estate expansion.</w:t>
      </w:r>
    </w:p>
    <w:p>
      <w:pPr>
        <w:spacing w:after="160"/>
      </w:pPr>
      <w:r>
        <w:rPr>
          <w:rFonts w:ascii="Arial" w:cs="Arial" w:eastAsia="Arial" w:hAnsi="Arial"/>
          <w:color w:val="333333"/>
          <w:sz w:val="21"/>
          <w:szCs w:val="21"/>
        </w:rPr>
        <w:t xml:space="preserve">The module operates in two modes: (1) </w:t>
      </w:r>
      <w:r>
        <w:rPr>
          <w:rFonts w:ascii="Arial" w:cs="Arial" w:eastAsia="Arial" w:hAnsi="Arial"/>
          <w:b/>
          <w:bCs/>
          <w:color w:val="333333"/>
          <w:sz w:val="21"/>
          <w:szCs w:val="21"/>
        </w:rPr>
        <w:t xml:space="preserve">New Content Generation</w:t>
      </w:r>
      <w:r>
        <w:rPr>
          <w:rFonts w:ascii="Arial" w:cs="Arial" w:eastAsia="Arial" w:hAnsi="Arial"/>
          <w:color w:val="333333"/>
          <w:sz w:val="21"/>
          <w:szCs w:val="21"/>
        </w:rPr>
        <w:t xml:space="preserve"> — elements are injected during IGNY8’s 7-stage pipeline, and (2) </w:t>
      </w:r>
      <w:r>
        <w:rPr>
          <w:rFonts w:ascii="Arial" w:cs="Arial" w:eastAsia="Arial" w:hAnsi="Arial"/>
          <w:b/>
          <w:bCs/>
          <w:color w:val="333333"/>
          <w:sz w:val="21"/>
          <w:szCs w:val="21"/>
        </w:rPr>
        <w:t xml:space="preserve">Retroactive Enhancement</w:t>
      </w:r>
      <w:r>
        <w:rPr>
          <w:rFonts w:ascii="Arial" w:cs="Arial" w:eastAsia="Arial" w:hAnsi="Arial"/>
          <w:color w:val="333333"/>
          <w:sz w:val="21"/>
          <w:szCs w:val="21"/>
        </w:rPr>
        <w:t xml:space="preserve"> — existing published pages are scanned, analyzed, and enriched via the WordPress bridge plugin without touching the original content.</w:t>
      </w:r>
    </w:p>
    <w:p>
      <w:pPr>
        <w:spacing w:before="60" w:after="6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2E86C1" w:sz="3"/>
              <w:left w:val="single" w:color="2E86C1" w:sz="3"/>
              <w:bottom w:val="single" w:color="2E86C1" w:sz="3"/>
              <w:right w:val="single" w:color="2E86C1" w:sz="3"/>
            </w:tcBorders>
            <w:shd w:fill="EBF5FB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1A5276"/>
                <w:sz w:val="22"/>
                <w:szCs w:val="22"/>
              </w:rPr>
              <w:t xml:space="preserve">Expected Impact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•  20–40% increase in SERP click-through rate via rich result appearances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•  Featured snippet eligibility on 60%+ of informational content</w:t>
            </w:r>
          </w:p>
          <w:p>
            <w:pPr>
              <w:spacing w:after="6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•  Zero core content rewriting required for retroactive enhancement</w:t>
            </w:r>
          </w:p>
          <w:p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•  Competitive differentiation: 85%+ of competing sites lack these optimizations</w:t>
            </w:r>
          </w:p>
        </w:tc>
      </w:tr>
    </w:tbl>
    <w:p>
      <w:pPr>
        <w:spacing w:before="100" w:after="100"/>
      </w:pPr>
    </w:p>
    <w:p>
      <w:r>
        <w:br w:type="page"/>
      </w:r>
    </w:p>
    <w:p>
      <w:pPr>
        <w:pStyle w:val="Heading1"/>
        <w:spacing w:before="360" w:after="200"/>
      </w:pPr>
      <w:r>
        <w:rPr>
          <w:rFonts w:ascii="Arial" w:cs="Arial" w:eastAsia="Arial" w:hAnsi="Arial"/>
          <w:b/>
          <w:bCs/>
          <w:color w:val="1A5276"/>
          <w:sz w:val="32"/>
          <w:szCs w:val="32"/>
        </w:rPr>
        <w:t xml:space="preserve">2. Rich Schema Types — Complete Inventory</w:t>
      </w:r>
    </w:p>
    <w:p>
      <w:pPr>
        <w:spacing w:after="160"/>
        <w:jc w:val="left"/>
      </w:pPr>
      <w:r>
        <w:rPr>
          <w:rFonts w:ascii="Arial" w:cs="Arial" w:eastAsia="Arial" w:hAnsi="Arial"/>
          <w:color w:val="333333"/>
          <w:sz w:val="21"/>
          <w:szCs w:val="21"/>
        </w:rPr>
        <w:t xml:space="preserve">Each schema type below is ranked by implementation priority for IGNY8, considering impact on SERP appearance, automation feasibility, and breadth of applicability across client niches.</w:t>
      </w:r>
    </w:p>
    <w:p>
      <w:pPr>
        <w:pStyle w:val="Heading2"/>
        <w:spacing w:before="280" w:after="160"/>
      </w:pPr>
      <w:r>
        <w:rPr>
          <w:rFonts w:ascii="Arial" w:cs="Arial" w:eastAsia="Arial" w:hAnsi="Arial"/>
          <w:b/>
          <w:bCs/>
          <w:color w:val="2E86C1"/>
          <w:sz w:val="26"/>
          <w:szCs w:val="26"/>
        </w:rPr>
        <w:t xml:space="preserve">2.1 FAQ Schema (FAQPage)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Attribute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Detail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Priority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E74C3C"/>
                <w:sz w:val="20"/>
                <w:szCs w:val="20"/>
              </w:rPr>
              <w:t xml:space="preserve">HIGH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 — Highest ROI, broadest applicability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Rich Result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Expandable Q&amp;A accordion directly in SERP listing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SERP Impact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Doubles or triples listing height; pushes competitors below fold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Best For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Service pages, product pages, blog posts, landing pages — virtually everything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IGNY8 Automation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AI generates 3–5 FAQ pairs per page from content context + PAA mining; auto-injects JSON-LD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Retroactive Mode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Scan existing page content → generate relevant FAQs → append schema to &lt;head&gt; via WP bridge → optionally render FAQ section in footer area</w:t>
            </w:r>
          </w:p>
        </w:tc>
      </w:tr>
    </w:tbl>
    <w:p>
      <w:pPr>
        <w:spacing w:before="60" w:after="60"/>
      </w:pPr>
    </w:p>
    <w:p>
      <w:pPr>
        <w:pStyle w:val="Heading3"/>
        <w:spacing w:before="200" w:after="120"/>
      </w:pPr>
      <w:r>
        <w:rPr>
          <w:rFonts w:ascii="Arial" w:cs="Arial" w:eastAsia="Arial" w:hAnsi="Arial"/>
          <w:b/>
          <w:bCs/>
          <w:color w:val="1A5276"/>
          <w:sz w:val="22"/>
          <w:szCs w:val="22"/>
        </w:rPr>
        <w:t xml:space="preserve">JSON-LD Template</w:t>
      </w:r>
    </w:p>
    <w:p>
      <w:pPr>
        <w:spacing w:after="160"/>
      </w:pPr>
      <w:r>
        <w:rPr>
          <w:rFonts w:ascii="Courier New" w:cs="Courier New" w:eastAsia="Courier New" w:hAnsi="Courier New"/>
          <w:color w:val="333333"/>
          <w:sz w:val="18"/>
          <w:szCs w:val="18"/>
        </w:rPr>
        <w:t xml:space="preserve">{
  "@context": "https://schema.org",
  "@type": "FAQPage",
  "mainEntity": [{
    "@type": "Question",
    "name": "{{question}}",
    "acceptedAnswer": {
      "@type": "Answer",
      "text": "{{answer}}"
    }
  }]
}</w:t>
      </w:r>
    </w:p>
    <w:p>
      <w:pPr>
        <w:pStyle w:val="Heading2"/>
        <w:spacing w:before="280" w:after="160"/>
      </w:pPr>
      <w:r>
        <w:rPr>
          <w:rFonts w:ascii="Arial" w:cs="Arial" w:eastAsia="Arial" w:hAnsi="Arial"/>
          <w:b/>
          <w:bCs/>
          <w:color w:val="2E86C1"/>
          <w:sz w:val="26"/>
          <w:szCs w:val="26"/>
        </w:rPr>
        <w:t xml:space="preserve">2.2 HowTo Schema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Attribute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Detail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Priority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E74C3C"/>
                <w:sz w:val="20"/>
                <w:szCs w:val="20"/>
              </w:rPr>
              <w:t xml:space="preserve">HIGH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 — Massive rich result with step cards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Rich Result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Step-by-step expandable cards with optional images, tools, time estimates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SERP Impact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Dominant visual presence; often captures position zero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Best For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Tutorial content, guides, DIY posts, process explanations, setup instructions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IGNY8 Automation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Detect procedural/instructional content via AI → extract steps → generate HowTo JSON-LD with step names, descriptions, and estimated time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Retroactive Mode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Parse existing H2/H3 + numbered lists → convert to HowTo schema → inject via WP bridge</w:t>
            </w:r>
          </w:p>
        </w:tc>
      </w:tr>
    </w:tbl>
    <w:p>
      <w:pPr>
        <w:pStyle w:val="Heading2"/>
        <w:spacing w:before="280" w:after="160"/>
      </w:pPr>
      <w:r>
        <w:rPr>
          <w:rFonts w:ascii="Arial" w:cs="Arial" w:eastAsia="Arial" w:hAnsi="Arial"/>
          <w:b/>
          <w:bCs/>
          <w:color w:val="2E86C1"/>
          <w:sz w:val="26"/>
          <w:szCs w:val="26"/>
        </w:rPr>
        <w:t xml:space="preserve">2.3 Review / AggregateRating Schema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Attribute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Detail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Priority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E74C3C"/>
                <w:sz w:val="20"/>
                <w:szCs w:val="20"/>
              </w:rPr>
              <w:t xml:space="preserve">HIGH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 — Star ratings are the strongest CTR signal in SERPs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Rich Result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Gold star rating + review count displayed below page title in SERP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Best For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Product reviews, service pages, tool comparisons, course pages, software reviews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IGNY8 Automation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For review-type content: AI assigns rating based on sentiment analysis + generates Review schema; for product pages: AggregateRating from existing reviews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Retroactive Mode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Detect review/comparison pages → extract or generate ratings → inject schema; for WooCommerce: pull existing product ratings into schema automatically</w:t>
            </w:r>
          </w:p>
        </w:tc>
      </w:tr>
    </w:tbl>
    <w:p>
      <w:pPr>
        <w:pStyle w:val="Heading2"/>
        <w:spacing w:before="280" w:after="160"/>
      </w:pPr>
      <w:r>
        <w:rPr>
          <w:rFonts w:ascii="Arial" w:cs="Arial" w:eastAsia="Arial" w:hAnsi="Arial"/>
          <w:b/>
          <w:bCs/>
          <w:color w:val="2E86C1"/>
          <w:sz w:val="26"/>
          <w:szCs w:val="26"/>
        </w:rPr>
        <w:t xml:space="preserve">2.4 Pros and Cons Schema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Attribute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Detail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Priority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E74C3C"/>
                <w:sz w:val="20"/>
                <w:szCs w:val="20"/>
              </w:rPr>
              <w:t xml:space="preserve">HIGH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 — New Google feature, almost zero competition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Rich Result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Distinct pros/cons visual block in SERP — green checkmarks and red crosses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Best For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Product reviews, comparison posts, tool evaluations, service assessments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IGNY8 Automation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AI generates 3–5 pros and 2–3 cons from content context; wraps in Review schema with positiveNotes/negativeNotes ItemList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Retroactive Mode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Scan for existing pros/cons sections or generate from content sentiment → inject schema</w:t>
            </w:r>
          </w:p>
        </w:tc>
      </w:tr>
    </w:tbl>
    <w:p>
      <w:pPr>
        <w:pStyle w:val="Heading2"/>
        <w:spacing w:before="280" w:after="160"/>
      </w:pPr>
      <w:r>
        <w:rPr>
          <w:rFonts w:ascii="Arial" w:cs="Arial" w:eastAsia="Arial" w:hAnsi="Arial"/>
          <w:b/>
          <w:bCs/>
          <w:color w:val="2E86C1"/>
          <w:sz w:val="26"/>
          <w:szCs w:val="26"/>
        </w:rPr>
        <w:t xml:space="preserve">2.5 Article Schema (with Freshness Signals)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Attribute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Detail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Priority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E74C3C"/>
                <w:sz w:val="20"/>
                <w:szCs w:val="20"/>
              </w:rPr>
              <w:t xml:space="preserve">HIGH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 — Foundation schema for all blog/article content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Rich Result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Enhanced listing with author name, publish date, article thumbnail; enables Top Stories eligibility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Key Fields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headline, author (Person), datePublished, dateModified, image, publisher (Organization)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IGNY8 Automation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Auto-generated on every article publish; dateModified updated on any content refresh; author entity linked to site’s Person schema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Retroactive Mode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Scan all posts → inject Article schema with correct dates from WP metadata → bulk update via bridge</w:t>
            </w:r>
          </w:p>
        </w:tc>
      </w:tr>
    </w:tbl>
    <w:p>
      <w:pPr>
        <w:pStyle w:val="Heading2"/>
        <w:spacing w:before="280" w:after="160"/>
      </w:pPr>
      <w:r>
        <w:rPr>
          <w:rFonts w:ascii="Arial" w:cs="Arial" w:eastAsia="Arial" w:hAnsi="Arial"/>
          <w:b/>
          <w:bCs/>
          <w:color w:val="2E86C1"/>
          <w:sz w:val="26"/>
          <w:szCs w:val="26"/>
        </w:rPr>
        <w:t xml:space="preserve">2.6 Author / Person Schema (E-E-A-T Signal)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Attribute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Detail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Priority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39C12"/>
                <w:sz w:val="20"/>
                <w:szCs w:val="20"/>
              </w:rPr>
              <w:t xml:space="preserve">MEDIUM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 — Critical for YMYL niches (finance, health, legal)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Purpose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Establishes author entity in Google’s Knowledge Graph; strengthens E-E-A-T trust signals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Key Fields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name, url (author page), sameAs (LinkedIn, Twitter), jobTitle, worksFor, knowsAbout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IGNY8 Automation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User configures author profile once in IGNY8 settings → Person schema auto-injected on every article and linked from Article schema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Retroactive Mode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Pull WP author data → generate Person schema → inject on all existing posts</w:t>
            </w:r>
          </w:p>
        </w:tc>
      </w:tr>
    </w:tbl>
    <w:p>
      <w:pPr>
        <w:pStyle w:val="Heading2"/>
        <w:spacing w:before="280" w:after="160"/>
      </w:pPr>
      <w:r>
        <w:rPr>
          <w:rFonts w:ascii="Arial" w:cs="Arial" w:eastAsia="Arial" w:hAnsi="Arial"/>
          <w:b/>
          <w:bCs/>
          <w:color w:val="2E86C1"/>
          <w:sz w:val="26"/>
          <w:szCs w:val="26"/>
        </w:rPr>
        <w:t xml:space="preserve">2.7 Video Schema (VideoObject)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Attribute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Detail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Priority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39C12"/>
                <w:sz w:val="20"/>
                <w:szCs w:val="20"/>
              </w:rPr>
              <w:t xml:space="preserve">MEDIUM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 — High CTR lift when video thumbnails appear in SERP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Rich Result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Video thumbnail with play button, duration, and upload date displayed in SERP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IGNY8 Automation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Detect YouTube/Vimeo embeds in content → auto-extract video metadata via oEmbed API → generate VideoObject schema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Retroactive Mode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Scan all pages for embedded videos → generate and inject schema for each found video</w:t>
            </w:r>
          </w:p>
        </w:tc>
      </w:tr>
    </w:tbl>
    <w:p>
      <w:pPr>
        <w:pStyle w:val="Heading2"/>
        <w:spacing w:before="280" w:after="160"/>
      </w:pPr>
      <w:r>
        <w:rPr>
          <w:rFonts w:ascii="Arial" w:cs="Arial" w:eastAsia="Arial" w:hAnsi="Arial"/>
          <w:b/>
          <w:bCs/>
          <w:color w:val="2E86C1"/>
          <w:sz w:val="26"/>
          <w:szCs w:val="26"/>
        </w:rPr>
        <w:t xml:space="preserve">2.8 Breadcrumb Schema (BreadcrumbList)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Attribute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Detail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Priority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39C12"/>
                <w:sz w:val="20"/>
                <w:szCs w:val="20"/>
              </w:rPr>
              <w:t xml:space="preserve">MEDIUM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 — Low effort, permanent visual upgrade to all SERP listings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Rich Result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Replaces raw URL in SERP with clean navigational path: Home &gt; Category &gt; Page Title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IGNY8 Automation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Auto-generated from WP category/taxonomy hierarchy; injected on every page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Retroactive Mode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Read WP permalink structure + categories → generate BreadcrumbList → bulk inject</w:t>
            </w:r>
          </w:p>
        </w:tc>
      </w:tr>
    </w:tbl>
    <w:p>
      <w:pPr>
        <w:pStyle w:val="Heading2"/>
        <w:spacing w:before="280" w:after="160"/>
      </w:pPr>
      <w:r>
        <w:rPr>
          <w:rFonts w:ascii="Arial" w:cs="Arial" w:eastAsia="Arial" w:hAnsi="Arial"/>
          <w:b/>
          <w:bCs/>
          <w:color w:val="2E86C1"/>
          <w:sz w:val="26"/>
          <w:szCs w:val="26"/>
        </w:rPr>
        <w:t xml:space="preserve">2.9 Speakable Schema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Attribute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Detail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Priority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20"/>
                <w:szCs w:val="20"/>
              </w:rPr>
              <w:t xml:space="preserve">LOW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 — Forward-looking; positions content for voice search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Purpose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Marks specific content sections as suitable for text-to-speech readout by Google Assistant and smart speakers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IGNY8 Automation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Auto-select TL;DR block + first 2 key paragraphs as speakable sections via CSS selector targeting</w:t>
            </w:r>
          </w:p>
        </w:tc>
      </w:tr>
    </w:tbl>
    <w:p>
      <w:pPr>
        <w:pStyle w:val="Heading2"/>
        <w:spacing w:before="280" w:after="160"/>
      </w:pPr>
      <w:r>
        <w:rPr>
          <w:rFonts w:ascii="Arial" w:cs="Arial" w:eastAsia="Arial" w:hAnsi="Arial"/>
          <w:b/>
          <w:bCs/>
          <w:color w:val="2E86C1"/>
          <w:sz w:val="26"/>
          <w:szCs w:val="26"/>
        </w:rPr>
        <w:t xml:space="preserve">2.10 SiteLinks Search Box Schema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960"/>
      </w:tblGrid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Attribute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Detail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Priority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20"/>
                <w:szCs w:val="20"/>
              </w:rPr>
              <w:t xml:space="preserve">LOW</w:t>
            </w:r>
            <w:r>
              <w:rPr>
                <w:rFonts w:ascii="Arial" w:cs="Arial" w:eastAsia="Arial" w:hAnsi="Arial"/>
                <w:sz w:val="20"/>
                <w:szCs w:val="20"/>
              </w:rPr>
              <w:t xml:space="preserve"> — Homepage-only; signals site authority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Rich Result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Search box appears directly within branded SERP result, allowing users to search the site from Google</w:t>
            </w:r>
          </w:p>
        </w:tc>
      </w:tr>
      <w:tr>
        <w:tc>
          <w:tcPr>
            <w:tcW w:type="dxa" w:w="24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IGNY8 Automation</w:t>
            </w:r>
          </w:p>
        </w:tc>
        <w:tc>
          <w:tcPr>
            <w:tcW w:type="dxa" w:w="69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One-time setup: inject WebSite schema with SearchAction on homepage; requires site to have internal search</w:t>
            </w:r>
          </w:p>
        </w:tc>
      </w:tr>
    </w:tbl>
    <w:p>
      <w:r>
        <w:br w:type="page"/>
      </w:r>
    </w:p>
    <w:p>
      <w:pPr>
        <w:pStyle w:val="Heading1"/>
        <w:spacing w:before="360" w:after="200"/>
      </w:pPr>
      <w:r>
        <w:rPr>
          <w:rFonts w:ascii="Arial" w:cs="Arial" w:eastAsia="Arial" w:hAnsi="Arial"/>
          <w:b/>
          <w:bCs/>
          <w:color w:val="1A5276"/>
          <w:sz w:val="32"/>
          <w:szCs w:val="32"/>
        </w:rPr>
        <w:t xml:space="preserve">3. Non-Schema On-Page Elements</w:t>
      </w:r>
    </w:p>
    <w:p>
      <w:pPr>
        <w:spacing w:after="160"/>
        <w:jc w:val="left"/>
      </w:pPr>
      <w:r>
        <w:rPr>
          <w:rFonts w:ascii="Arial" w:cs="Arial" w:eastAsia="Arial" w:hAnsi="Arial"/>
          <w:color w:val="333333"/>
          <w:sz w:val="21"/>
          <w:szCs w:val="21"/>
        </w:rPr>
        <w:t xml:space="preserve">These elements don’t require structured data markup but directly influence featured snippet capture, SERP sitelinks, and AI Overview inclusion. They can be injected into content without rewriting the core body.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600"/>
        <w:gridCol w:w="800"/>
        <w:gridCol w:w="1500"/>
        <w:gridCol w:w="2730"/>
        <w:gridCol w:w="2730"/>
      </w:tblGrid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Element</w:t>
            </w:r>
          </w:p>
        </w:tc>
        <w:tc>
          <w:tcPr>
            <w:tcW w:type="dxa" w:w="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Priority</w:t>
            </w:r>
          </w:p>
        </w:tc>
        <w:tc>
          <w:tcPr>
            <w:tcW w:type="dxa" w:w="15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What It Is</w:t>
            </w:r>
          </w:p>
        </w:tc>
        <w:tc>
          <w:tcPr>
            <w:tcW w:type="dxa" w:w="27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Why It Works</w:t>
            </w:r>
          </w:p>
        </w:tc>
        <w:tc>
          <w:tcPr>
            <w:tcW w:type="dxa" w:w="27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IGNY8 Implementation</w:t>
            </w:r>
          </w:p>
        </w:tc>
      </w:tr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TL;DR / Key Takeaways Box</w:t>
            </w:r>
          </w:p>
        </w:tc>
        <w:tc>
          <w:tcPr>
            <w:tcW w:type="dxa" w:w="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E74C3C"/>
                <w:sz w:val="18"/>
                <w:szCs w:val="18"/>
              </w:rPr>
              <w:t xml:space="preserve">HIGH</w:t>
            </w:r>
          </w:p>
        </w:tc>
        <w:tc>
          <w:tcPr>
            <w:tcW w:type="dxa" w:w="15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3–4 sentence summary at top of article</w:t>
            </w:r>
          </w:p>
        </w:tc>
        <w:tc>
          <w:tcPr>
            <w:tcW w:type="dxa" w:w="27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Google AI Overview and featured snippets preferentially pull from summary blocks at the top of content</w:t>
            </w:r>
          </w:p>
        </w:tc>
        <w:tc>
          <w:tcPr>
            <w:tcW w:type="dxa" w:w="27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AI generates summary from full article → injects as styled box above first H2</w:t>
            </w:r>
          </w:p>
        </w:tc>
      </w:tr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Table of Contents (Jump Links)</w:t>
            </w:r>
          </w:p>
        </w:tc>
        <w:tc>
          <w:tcPr>
            <w:tcW w:type="dxa" w:w="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E74C3C"/>
                <w:sz w:val="18"/>
                <w:szCs w:val="18"/>
              </w:rPr>
              <w:t xml:space="preserve">HIGH</w:t>
            </w:r>
          </w:p>
        </w:tc>
        <w:tc>
          <w:tcPr>
            <w:tcW w:type="dxa" w:w="15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Auto-linked heading list at top</w:t>
            </w:r>
          </w:p>
        </w:tc>
        <w:tc>
          <w:tcPr>
            <w:tcW w:type="dxa" w:w="27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Google displays TOC entries as sitelinks under your result — you get 4–6 extra clickable links in a single SERP listing</w:t>
            </w:r>
          </w:p>
        </w:tc>
        <w:tc>
          <w:tcPr>
            <w:tcW w:type="dxa" w:w="27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Auto-generated from H2/H3 structure → injected with anchor IDs</w:t>
            </w:r>
          </w:p>
        </w:tc>
      </w:tr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Comparison Tables (HTML)</w:t>
            </w:r>
          </w:p>
        </w:tc>
        <w:tc>
          <w:tcPr>
            <w:tcW w:type="dxa" w:w="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E74C3C"/>
                <w:sz w:val="18"/>
                <w:szCs w:val="18"/>
              </w:rPr>
              <w:t xml:space="preserve">HIGH</w:t>
            </w:r>
          </w:p>
        </w:tc>
        <w:tc>
          <w:tcPr>
            <w:tcW w:type="dxa" w:w="15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Structured HTML &lt;table&gt; elements</w:t>
            </w:r>
          </w:p>
        </w:tc>
        <w:tc>
          <w:tcPr>
            <w:tcW w:type="dxa" w:w="27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Google pulls HTML tables into rich table results for comparison queries; paragraph-format comparisons are never selected</w:t>
            </w:r>
          </w:p>
        </w:tc>
        <w:tc>
          <w:tcPr>
            <w:tcW w:type="dxa" w:w="27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AI converts comparison content into HTML table format; for new content, generates tables by default on comparison topics</w:t>
            </w:r>
          </w:p>
        </w:tc>
      </w:tr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Definition Blocks</w:t>
            </w:r>
          </w:p>
        </w:tc>
        <w:tc>
          <w:tcPr>
            <w:tcW w:type="dxa" w:w="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39C12"/>
                <w:sz w:val="18"/>
                <w:szCs w:val="18"/>
              </w:rPr>
              <w:t xml:space="preserve">MEDIUM</w:t>
            </w:r>
          </w:p>
        </w:tc>
        <w:tc>
          <w:tcPr>
            <w:tcW w:type="dxa" w:w="15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Short definition paragraph after “What is X?” heading</w:t>
            </w:r>
          </w:p>
        </w:tc>
        <w:tc>
          <w:tcPr>
            <w:tcW w:type="dxa" w:w="27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Primary featured snippet format for definitional queries; the exact format Google’s algorithm expects</w:t>
            </w:r>
          </w:p>
        </w:tc>
        <w:tc>
          <w:tcPr>
            <w:tcW w:type="dxa" w:w="27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AI generates a clean 2–3 sentence definition block for primary keyword; inserted after first H2</w:t>
            </w:r>
          </w:p>
        </w:tc>
      </w:tr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PAA-Targeted Subheadings</w:t>
            </w:r>
          </w:p>
        </w:tc>
        <w:tc>
          <w:tcPr>
            <w:tcW w:type="dxa" w:w="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39C12"/>
                <w:sz w:val="18"/>
                <w:szCs w:val="18"/>
              </w:rPr>
              <w:t xml:space="preserve">MEDIUM</w:t>
            </w:r>
          </w:p>
        </w:tc>
        <w:tc>
          <w:tcPr>
            <w:tcW w:type="dxa" w:w="15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H2/H3 matching People Also Ask queries</w:t>
            </w:r>
          </w:p>
        </w:tc>
        <w:tc>
          <w:tcPr>
            <w:tcW w:type="dxa" w:w="27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Directly feeds Google’s PAA box; each matching subheading is a separate ranking opportunity</w:t>
            </w:r>
          </w:p>
        </w:tc>
        <w:tc>
          <w:tcPr>
            <w:tcW w:type="dxa" w:w="27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IGNY8 mines PAA questions during keyword research phase → auto-includes 2–3 as H2s in content structure</w:t>
            </w:r>
          </w:p>
        </w:tc>
      </w:tr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Image Alt Text + File Naming</w:t>
            </w:r>
          </w:p>
        </w:tc>
        <w:tc>
          <w:tcPr>
            <w:tcW w:type="dxa" w:w="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39C12"/>
                <w:sz w:val="18"/>
                <w:szCs w:val="18"/>
              </w:rPr>
              <w:t xml:space="preserve">MEDIUM</w:t>
            </w:r>
          </w:p>
        </w:tc>
        <w:tc>
          <w:tcPr>
            <w:tcW w:type="dxa" w:w="15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Descriptive alt attributes and keyword-rich filenames</w:t>
            </w:r>
          </w:p>
        </w:tc>
        <w:tc>
          <w:tcPr>
            <w:tcW w:type="dxa" w:w="27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Drives Google Image rankings which generate traffic back to pages; most sites still use empty alt tags</w:t>
            </w:r>
          </w:p>
        </w:tc>
        <w:tc>
          <w:tcPr>
            <w:tcW w:type="dxa" w:w="27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AI generates descriptive alt text from image context; filenames auto-formatted as keyword-slug.jpg</w:t>
            </w:r>
          </w:p>
        </w:tc>
      </w:tr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Internal Linking (Contextual)</w:t>
            </w:r>
          </w:p>
        </w:tc>
        <w:tc>
          <w:tcPr>
            <w:tcW w:type="dxa" w:w="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E74C3C"/>
                <w:sz w:val="18"/>
                <w:szCs w:val="18"/>
              </w:rPr>
              <w:t xml:space="preserve">HIGH</w:t>
            </w:r>
          </w:p>
        </w:tc>
        <w:tc>
          <w:tcPr>
            <w:tcW w:type="dxa" w:w="15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3–5 relevant internal links per page with descriptive anchors</w:t>
            </w:r>
          </w:p>
        </w:tc>
        <w:tc>
          <w:tcPr>
            <w:tcW w:type="dxa" w:w="27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One of the fastest ranking levers; distributes page authority and helps Google understand site topology</w:t>
            </w:r>
          </w:p>
        </w:tc>
        <w:tc>
          <w:tcPr>
            <w:tcW w:type="dxa" w:w="27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IGNY8 scans site content index → suggests relevant internal links → auto-inserts with natural anchor text</w:t>
            </w:r>
          </w:p>
        </w:tc>
      </w:tr>
    </w:tbl>
    <w:p>
      <w:r>
        <w:br w:type="page"/>
      </w:r>
    </w:p>
    <w:p>
      <w:pPr>
        <w:pStyle w:val="Heading1"/>
        <w:spacing w:before="360" w:after="200"/>
      </w:pPr>
      <w:r>
        <w:rPr>
          <w:rFonts w:ascii="Arial" w:cs="Arial" w:eastAsia="Arial" w:hAnsi="Arial"/>
          <w:b/>
          <w:bCs/>
          <w:color w:val="1A5276"/>
          <w:sz w:val="32"/>
          <w:szCs w:val="32"/>
        </w:rPr>
        <w:t xml:space="preserve">4. Implementation Architecture</w:t>
      </w:r>
    </w:p>
    <w:p>
      <w:pPr>
        <w:pStyle w:val="Heading2"/>
        <w:spacing w:before="280" w:after="160"/>
      </w:pPr>
      <w:r>
        <w:rPr>
          <w:rFonts w:ascii="Arial" w:cs="Arial" w:eastAsia="Arial" w:hAnsi="Arial"/>
          <w:b/>
          <w:bCs/>
          <w:color w:val="2E86C1"/>
          <w:sz w:val="26"/>
          <w:szCs w:val="26"/>
        </w:rPr>
        <w:t xml:space="preserve">4.1 New Content Pipeline Integration</w:t>
      </w:r>
    </w:p>
    <w:p>
      <w:pPr>
        <w:spacing w:after="160"/>
        <w:jc w:val="left"/>
      </w:pPr>
      <w:r>
        <w:rPr>
          <w:rFonts w:ascii="Arial" w:cs="Arial" w:eastAsia="Arial" w:hAnsi="Arial"/>
          <w:color w:val="333333"/>
          <w:sz w:val="21"/>
          <w:szCs w:val="21"/>
        </w:rPr>
        <w:t xml:space="preserve">The rich schema elements integrate into IGNY8’s existing 7-stage pipeline as follows: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1200"/>
        <w:gridCol w:w="6360"/>
      </w:tblGrid>
      <w:tr>
        <w:tc>
          <w:tcPr>
            <w:tcW w:type="dxa" w:w="1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Pipeline Stage</w:t>
            </w:r>
          </w:p>
        </w:tc>
        <w:tc>
          <w:tcPr>
            <w:tcW w:type="dxa" w:w="12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Status</w:t>
            </w:r>
          </w:p>
        </w:tc>
        <w:tc>
          <w:tcPr>
            <w:tcW w:type="dxa" w:w="63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Schema Module Integration</w:t>
            </w:r>
          </w:p>
        </w:tc>
      </w:tr>
      <w:tr>
        <w:tc>
          <w:tcPr>
            <w:tcW w:type="dxa" w:w="1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Stage 1: Keywords</w:t>
            </w:r>
          </w:p>
        </w:tc>
        <w:tc>
          <w:tcPr>
            <w:tcW w:type="dxa" w:w="12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No change</w:t>
            </w:r>
          </w:p>
        </w:tc>
        <w:tc>
          <w:tcPr>
            <w:tcW w:type="dxa" w:w="63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Keyword data feeds PAA question mining</w:t>
            </w:r>
          </w:p>
        </w:tc>
      </w:tr>
      <w:tr>
        <w:tc>
          <w:tcPr>
            <w:tcW w:type="dxa" w:w="1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Stage 2: Clusters</w:t>
            </w:r>
          </w:p>
        </w:tc>
        <w:tc>
          <w:tcPr>
            <w:tcW w:type="dxa" w:w="12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No change</w:t>
            </w:r>
          </w:p>
        </w:tc>
        <w:tc>
          <w:tcPr>
            <w:tcW w:type="dxa" w:w="63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Cluster taxonomy informs BreadcrumbList structure</w:t>
            </w:r>
          </w:p>
        </w:tc>
      </w:tr>
      <w:tr>
        <w:tc>
          <w:tcPr>
            <w:tcW w:type="dxa" w:w="1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Stage 3: Ideas</w:t>
            </w:r>
          </w:p>
        </w:tc>
        <w:tc>
          <w:tcPr>
            <w:tcW w:type="dxa" w:w="12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E86C1"/>
                <w:sz w:val="20"/>
                <w:szCs w:val="20"/>
              </w:rPr>
              <w:t xml:space="preserve">Enhanced</w:t>
            </w:r>
          </w:p>
        </w:tc>
        <w:tc>
          <w:tcPr>
            <w:tcW w:type="dxa" w:w="63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Content type classification added (tutorial vs review vs informational) to determine which schemas apply</w:t>
            </w:r>
          </w:p>
        </w:tc>
      </w:tr>
      <w:tr>
        <w:tc>
          <w:tcPr>
            <w:tcW w:type="dxa" w:w="1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Stage 4: Content</w:t>
            </w:r>
          </w:p>
        </w:tc>
        <w:tc>
          <w:tcPr>
            <w:tcW w:type="dxa" w:w="12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E86C1"/>
                <w:sz w:val="20"/>
                <w:szCs w:val="20"/>
              </w:rPr>
              <w:t xml:space="preserve">Enhanced</w:t>
            </w:r>
          </w:p>
        </w:tc>
        <w:tc>
          <w:tcPr>
            <w:tcW w:type="dxa" w:w="63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AI generates: FAQ pairs, TL;DR summary, definition blocks, comparison tables, HowTo steps (where applicable), pros/cons (for reviews)</w:t>
            </w:r>
          </w:p>
        </w:tc>
      </w:tr>
      <w:tr>
        <w:tc>
          <w:tcPr>
            <w:tcW w:type="dxa" w:w="1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Stage 5: Image Prompts</w:t>
            </w:r>
          </w:p>
        </w:tc>
        <w:tc>
          <w:tcPr>
            <w:tcW w:type="dxa" w:w="12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No change</w:t>
            </w:r>
          </w:p>
        </w:tc>
        <w:tc>
          <w:tcPr>
            <w:tcW w:type="dxa" w:w="63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Image alt text generation added as metadata</w:t>
            </w:r>
          </w:p>
        </w:tc>
      </w:tr>
      <w:tr>
        <w:tc>
          <w:tcPr>
            <w:tcW w:type="dxa" w:w="1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Stage 6: Images</w:t>
            </w:r>
          </w:p>
        </w:tc>
        <w:tc>
          <w:tcPr>
            <w:tcW w:type="dxa" w:w="12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No change</w:t>
            </w:r>
          </w:p>
        </w:tc>
        <w:tc>
          <w:tcPr>
            <w:tcW w:type="dxa" w:w="63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File naming convention enforced (keyword-slug format)</w:t>
            </w:r>
          </w:p>
        </w:tc>
      </w:tr>
      <w:tr>
        <w:tc>
          <w:tcPr>
            <w:tcW w:type="dxa" w:w="1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Stage 7: Review Gate</w:t>
            </w:r>
          </w:p>
        </w:tc>
        <w:tc>
          <w:tcPr>
            <w:tcW w:type="dxa" w:w="12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E86C1"/>
                <w:sz w:val="20"/>
                <w:szCs w:val="20"/>
              </w:rPr>
              <w:t xml:space="preserve">Enhanced</w:t>
            </w:r>
          </w:p>
        </w:tc>
        <w:tc>
          <w:tcPr>
            <w:tcW w:type="dxa" w:w="63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Schema validation check added; preview of rich result appearance; internal link suggestions displayed</w:t>
            </w:r>
          </w:p>
        </w:tc>
      </w:tr>
    </w:tbl>
    <w:p>
      <w:pPr>
        <w:spacing w:before="100" w:after="100"/>
      </w:pPr>
    </w:p>
    <w:p>
      <w:pPr>
        <w:pStyle w:val="Heading2"/>
        <w:spacing w:before="280" w:after="160"/>
      </w:pPr>
      <w:r>
        <w:rPr>
          <w:rFonts w:ascii="Arial" w:cs="Arial" w:eastAsia="Arial" w:hAnsi="Arial"/>
          <w:b/>
          <w:bCs/>
          <w:color w:val="2E86C1"/>
          <w:sz w:val="26"/>
          <w:szCs w:val="26"/>
        </w:rPr>
        <w:t xml:space="preserve">4.2 Retroactive Enhancement Engine</w:t>
      </w:r>
    </w:p>
    <w:p>
      <w:pPr>
        <w:spacing w:after="160"/>
        <w:jc w:val="left"/>
      </w:pPr>
      <w:r>
        <w:rPr>
          <w:rFonts w:ascii="Arial" w:cs="Arial" w:eastAsia="Arial" w:hAnsi="Arial"/>
          <w:color w:val="333333"/>
          <w:sz w:val="21"/>
          <w:szCs w:val="21"/>
        </w:rPr>
        <w:t xml:space="preserve">The retroactive mode is a standalone feature within IGNY8 that processes existing WordPress sites without modifying published content.</w:t>
      </w:r>
    </w:p>
    <w:p>
      <w:pPr>
        <w:pStyle w:val="Heading3"/>
        <w:spacing w:before="200" w:after="120"/>
      </w:pPr>
      <w:r>
        <w:rPr>
          <w:rFonts w:ascii="Arial" w:cs="Arial" w:eastAsia="Arial" w:hAnsi="Arial"/>
          <w:b/>
          <w:bCs/>
          <w:color w:val="1A5276"/>
          <w:sz w:val="22"/>
          <w:szCs w:val="22"/>
        </w:rPr>
        <w:t xml:space="preserve">Process Flow</w:t>
      </w:r>
    </w:p>
    <w:p>
      <w:pPr>
        <w:spacing w:after="160"/>
      </w:pPr>
      <w:r>
        <w:rPr>
          <w:rFonts w:ascii="Arial" w:cs="Arial" w:eastAsia="Arial" w:hAnsi="Arial"/>
          <w:b/>
          <w:bCs/>
          <w:color w:val="333333"/>
          <w:sz w:val="21"/>
          <w:szCs w:val="21"/>
        </w:rPr>
        <w:t xml:space="preserve">Step 1 — Site Scan: </w:t>
      </w:r>
      <w:r>
        <w:rPr>
          <w:rFonts w:ascii="Arial" w:cs="Arial" w:eastAsia="Arial" w:hAnsi="Arial"/>
          <w:color w:val="333333"/>
          <w:sz w:val="21"/>
          <w:szCs w:val="21"/>
        </w:rPr>
        <w:t xml:space="preserve">WP bridge plugin sends full page inventory (URLs, titles, categories, content excerpts, existing schema) to IGNY8 API.</w:t>
      </w:r>
    </w:p>
    <w:p>
      <w:pPr>
        <w:spacing w:after="160"/>
      </w:pPr>
      <w:r>
        <w:rPr>
          <w:rFonts w:ascii="Arial" w:cs="Arial" w:eastAsia="Arial" w:hAnsi="Arial"/>
          <w:b/>
          <w:bCs/>
          <w:color w:val="333333"/>
          <w:sz w:val="21"/>
          <w:szCs w:val="21"/>
        </w:rPr>
        <w:t xml:space="preserve">Step 2 — Content Analysis: </w:t>
      </w:r>
      <w:r>
        <w:rPr>
          <w:rFonts w:ascii="Arial" w:cs="Arial" w:eastAsia="Arial" w:hAnsi="Arial"/>
          <w:color w:val="333333"/>
          <w:sz w:val="21"/>
          <w:szCs w:val="21"/>
        </w:rPr>
        <w:t xml:space="preserve">AI classifies each page by content type (article, tutorial, review, product, service, comparison) and identifies which schemas and elements are missing.</w:t>
      </w:r>
    </w:p>
    <w:p>
      <w:pPr>
        <w:spacing w:after="160"/>
      </w:pPr>
      <w:r>
        <w:rPr>
          <w:rFonts w:ascii="Arial" w:cs="Arial" w:eastAsia="Arial" w:hAnsi="Arial"/>
          <w:b/>
          <w:bCs/>
          <w:color w:val="333333"/>
          <w:sz w:val="21"/>
          <w:szCs w:val="21"/>
        </w:rPr>
        <w:t xml:space="preserve">Step 3 — Schema Generation: </w:t>
      </w:r>
      <w:r>
        <w:rPr>
          <w:rFonts w:ascii="Arial" w:cs="Arial" w:eastAsia="Arial" w:hAnsi="Arial"/>
          <w:color w:val="333333"/>
          <w:sz w:val="21"/>
          <w:szCs w:val="21"/>
        </w:rPr>
        <w:t xml:space="preserve">For each page, AI generates all applicable schema markup and on-page elements (FAQs, TL;DR, definition blocks, etc.).</w:t>
      </w:r>
    </w:p>
    <w:p>
      <w:pPr>
        <w:spacing w:after="160"/>
      </w:pPr>
      <w:r>
        <w:rPr>
          <w:rFonts w:ascii="Arial" w:cs="Arial" w:eastAsia="Arial" w:hAnsi="Arial"/>
          <w:b/>
          <w:bCs/>
          <w:color w:val="333333"/>
          <w:sz w:val="21"/>
          <w:szCs w:val="21"/>
        </w:rPr>
        <w:t xml:space="preserve">Step 4 — Review Dashboard: </w:t>
      </w:r>
      <w:r>
        <w:rPr>
          <w:rFonts w:ascii="Arial" w:cs="Arial" w:eastAsia="Arial" w:hAnsi="Arial"/>
          <w:color w:val="333333"/>
          <w:sz w:val="21"/>
          <w:szCs w:val="21"/>
        </w:rPr>
        <w:t xml:space="preserve">User reviews generated enhancements in IGNY8 dashboard with preview of expected rich result appearance. Approve individually or bulk-approve.</w:t>
      </w:r>
    </w:p>
    <w:p>
      <w:pPr>
        <w:spacing w:after="160"/>
      </w:pPr>
      <w:r>
        <w:rPr>
          <w:rFonts w:ascii="Arial" w:cs="Arial" w:eastAsia="Arial" w:hAnsi="Arial"/>
          <w:b/>
          <w:bCs/>
          <w:color w:val="333333"/>
          <w:sz w:val="21"/>
          <w:szCs w:val="21"/>
        </w:rPr>
        <w:t xml:space="preserve">Step 5 — Injection: </w:t>
      </w:r>
      <w:r>
        <w:rPr>
          <w:rFonts w:ascii="Arial" w:cs="Arial" w:eastAsia="Arial" w:hAnsi="Arial"/>
          <w:color w:val="333333"/>
          <w:sz w:val="21"/>
          <w:szCs w:val="21"/>
        </w:rPr>
        <w:t xml:space="preserve">Approved enhancements are pushed to WP via bridge plugin. Schema injected into &lt;head&gt; as JSON-LD. On-page elements (FAQ section, TOC, TL;DR box) optionally rendered via shortcodes or widget areas.</w:t>
      </w:r>
    </w:p>
    <w:p>
      <w:pPr>
        <w:spacing w:after="160"/>
      </w:pPr>
      <w:r>
        <w:rPr>
          <w:rFonts w:ascii="Arial" w:cs="Arial" w:eastAsia="Arial" w:hAnsi="Arial"/>
          <w:b/>
          <w:bCs/>
          <w:color w:val="333333"/>
          <w:sz w:val="21"/>
          <w:szCs w:val="21"/>
        </w:rPr>
        <w:t xml:space="preserve">Step 6 — Validation: </w:t>
      </w:r>
      <w:r>
        <w:rPr>
          <w:rFonts w:ascii="Arial" w:cs="Arial" w:eastAsia="Arial" w:hAnsi="Arial"/>
          <w:color w:val="333333"/>
          <w:sz w:val="21"/>
          <w:szCs w:val="21"/>
        </w:rPr>
        <w:t xml:space="preserve">Automated Google Rich Results Test API check on each enhanced page. Failures flagged for manual review.</w:t>
      </w:r>
    </w:p>
    <w:p>
      <w:r>
        <w:br w:type="page"/>
      </w:r>
    </w:p>
    <w:p>
      <w:pPr>
        <w:pStyle w:val="Heading1"/>
        <w:spacing w:before="360" w:after="200"/>
      </w:pPr>
      <w:r>
        <w:rPr>
          <w:rFonts w:ascii="Arial" w:cs="Arial" w:eastAsia="Arial" w:hAnsi="Arial"/>
          <w:b/>
          <w:bCs/>
          <w:color w:val="1A5276"/>
          <w:sz w:val="32"/>
          <w:szCs w:val="32"/>
        </w:rPr>
        <w:t xml:space="preserve">5. Content Type → Schema Mapping Matrix</w:t>
      </w:r>
    </w:p>
    <w:p>
      <w:pPr>
        <w:spacing w:after="160"/>
        <w:jc w:val="left"/>
      </w:pPr>
      <w:r>
        <w:rPr>
          <w:rFonts w:ascii="Arial" w:cs="Arial" w:eastAsia="Arial" w:hAnsi="Arial"/>
          <w:color w:val="333333"/>
          <w:sz w:val="21"/>
          <w:szCs w:val="21"/>
        </w:rPr>
        <w:t xml:space="preserve">This matrix defines which schemas and elements are auto-applied based on content type classification. This is the core decision engine for the module.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700"/>
        <w:gridCol w:w="1100"/>
        <w:gridCol w:w="1100"/>
        <w:gridCol w:w="1100"/>
        <w:gridCol w:w="1100"/>
        <w:gridCol w:w="1230"/>
        <w:gridCol w:w="1230"/>
      </w:tblGrid>
      <w:tr>
        <w:tc>
          <w:tcPr>
            <w:tcW w:type="dxa" w:w="17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Element / Schema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Blog Article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Tutorial/Guide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Product Review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Service Page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Comparison Post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Product Page</w:t>
            </w:r>
          </w:p>
        </w:tc>
      </w:tr>
      <w:tr>
        <w:tc>
          <w:tcPr>
            <w:tcW w:type="dxa" w:w="17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FAQ Schema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</w:tr>
      <w:tr>
        <w:tc>
          <w:tcPr>
            <w:tcW w:type="dxa" w:w="17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HowTo Schema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</w:tr>
      <w:tr>
        <w:tc>
          <w:tcPr>
            <w:tcW w:type="dxa" w:w="17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Review/Rating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</w:tr>
      <w:tr>
        <w:tc>
          <w:tcPr>
            <w:tcW w:type="dxa" w:w="17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Pros &amp; Cons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</w:tr>
      <w:tr>
        <w:tc>
          <w:tcPr>
            <w:tcW w:type="dxa" w:w="17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Article Schema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</w:tr>
      <w:tr>
        <w:tc>
          <w:tcPr>
            <w:tcW w:type="dxa" w:w="17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Author/Person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</w:tr>
      <w:tr>
        <w:tc>
          <w:tcPr>
            <w:tcW w:type="dxa" w:w="17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Video Schema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18"/>
                <w:szCs w:val="18"/>
              </w:rPr>
              <w:t xml:space="preserve">If video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18"/>
                <w:szCs w:val="18"/>
              </w:rPr>
              <w:t xml:space="preserve">If video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18"/>
                <w:szCs w:val="18"/>
              </w:rPr>
              <w:t xml:space="preserve">If video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18"/>
                <w:szCs w:val="18"/>
              </w:rPr>
              <w:t xml:space="preserve">If video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18"/>
                <w:szCs w:val="18"/>
              </w:rPr>
              <w:t xml:space="preserve">If video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18"/>
                <w:szCs w:val="18"/>
              </w:rPr>
              <w:t xml:space="preserve">If video</w:t>
            </w:r>
          </w:p>
        </w:tc>
      </w:tr>
      <w:tr>
        <w:tc>
          <w:tcPr>
            <w:tcW w:type="dxa" w:w="17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Breadcrumbs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</w:tr>
      <w:tr>
        <w:tc>
          <w:tcPr>
            <w:tcW w:type="dxa" w:w="17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TL;DR Box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</w:tr>
      <w:tr>
        <w:tc>
          <w:tcPr>
            <w:tcW w:type="dxa" w:w="17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TOC (Jump Links)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</w:tr>
      <w:tr>
        <w:tc>
          <w:tcPr>
            <w:tcW w:type="dxa" w:w="17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Comparison Table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</w:tr>
      <w:tr>
        <w:tc>
          <w:tcPr>
            <w:tcW w:type="dxa" w:w="17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Definition Block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</w:tr>
      <w:tr>
        <w:tc>
          <w:tcPr>
            <w:tcW w:type="dxa" w:w="17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PAA Subheadings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BDC3C7"/>
                <w:sz w:val="18"/>
                <w:szCs w:val="18"/>
              </w:rPr>
              <w:t xml:space="preserve">—</w:t>
            </w:r>
          </w:p>
        </w:tc>
      </w:tr>
      <w:tr>
        <w:tc>
          <w:tcPr>
            <w:tcW w:type="dxa" w:w="17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Internal Links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1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  <w:tc>
          <w:tcPr>
            <w:tcW w:type="dxa" w:w="123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27AE60"/>
                <w:sz w:val="18"/>
                <w:szCs w:val="18"/>
              </w:rPr>
              <w:t xml:space="preserve">✓</w:t>
            </w:r>
          </w:p>
        </w:tc>
      </w:tr>
    </w:tbl>
    <w:p>
      <w:r>
        <w:br w:type="page"/>
      </w:r>
    </w:p>
    <w:p>
      <w:pPr>
        <w:pStyle w:val="Heading1"/>
        <w:spacing w:before="360" w:after="200"/>
      </w:pPr>
      <w:r>
        <w:rPr>
          <w:rFonts w:ascii="Arial" w:cs="Arial" w:eastAsia="Arial" w:hAnsi="Arial"/>
          <w:b/>
          <w:bCs/>
          <w:color w:val="1A5276"/>
          <w:sz w:val="32"/>
          <w:szCs w:val="32"/>
        </w:rPr>
        <w:t xml:space="preserve">6. Client Application Roadmap</w:t>
      </w:r>
    </w:p>
    <w:p>
      <w:pPr>
        <w:spacing w:after="160"/>
        <w:jc w:val="left"/>
      </w:pPr>
      <w:r>
        <w:rPr>
          <w:rFonts w:ascii="Arial" w:cs="Arial" w:eastAsia="Arial" w:hAnsi="Arial"/>
          <w:color w:val="333333"/>
          <w:sz w:val="21"/>
          <w:szCs w:val="21"/>
        </w:rPr>
        <w:t xml:space="preserve">Immediate retroactive enhancement opportunities across the current Alorig client portfolio: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600"/>
        <w:gridCol w:w="1600"/>
        <w:gridCol w:w="3360"/>
        <w:gridCol w:w="2800"/>
      </w:tblGrid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Client</w:t>
            </w:r>
          </w:p>
        </w:tc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Page Inventory</w:t>
            </w:r>
          </w:p>
        </w:tc>
        <w:tc>
          <w:tcPr>
            <w:tcW w:type="dxa" w:w="33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Priority Schemas &amp; Elements</w:t>
            </w:r>
          </w:p>
        </w:tc>
        <w:tc>
          <w:tcPr>
            <w:tcW w:type="dxa" w:w="2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Impact Assessment</w:t>
            </w:r>
          </w:p>
        </w:tc>
      </w:tr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Banner Printing (UK)</w:t>
            </w:r>
          </w:p>
        </w:tc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~50 service/product pages</w:t>
            </w:r>
          </w:p>
        </w:tc>
        <w:tc>
          <w:tcPr>
            <w:tcW w:type="dxa" w:w="33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FAQ Schema, Breadcrumbs, Local Business Schema, Service pages need Review markup</w:t>
            </w:r>
          </w:p>
        </w:tc>
        <w:tc>
          <w:tcPr>
            <w:tcW w:type="dxa" w:w="2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HIGH — competitive UK print market, rich results create immediate differentiation</w:t>
            </w:r>
          </w:p>
        </w:tc>
      </w:tr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Aterna Advisors (CA)</w:t>
            </w:r>
          </w:p>
        </w:tc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~135 content briefs + service pages</w:t>
            </w:r>
          </w:p>
        </w:tc>
        <w:tc>
          <w:tcPr>
            <w:tcW w:type="dxa" w:w="33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Article + Author Schema (critical for YMYL finance), FAQ Schema, TL;DR boxes, Definition blocks for financial terms</w:t>
            </w:r>
          </w:p>
        </w:tc>
        <w:tc>
          <w:tcPr>
            <w:tcW w:type="dxa" w:w="2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HIGH — YMYL niche, E-E-A-T signals directly impact ranking ability</w:t>
            </w:r>
          </w:p>
        </w:tc>
      </w:tr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Seva Mattress</w:t>
            </w:r>
          </w:p>
        </w:tc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WooCommerce product catalog</w:t>
            </w:r>
          </w:p>
        </w:tc>
        <w:tc>
          <w:tcPr>
            <w:tcW w:type="dxa" w:w="33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Product Schema, AggregateRating, FAQ Schema per product, Pros &amp; Cons on review pages</w:t>
            </w:r>
          </w:p>
        </w:tc>
        <w:tc>
          <w:tcPr>
            <w:tcW w:type="dxa" w:w="2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HIGH — e-commerce rich results (stars, price, availability) drive purchase clicks</w:t>
            </w:r>
          </w:p>
        </w:tc>
      </w:tr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VAINO</w:t>
            </w:r>
          </w:p>
        </w:tc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WooCommerce + brand pages</w:t>
            </w:r>
          </w:p>
        </w:tc>
        <w:tc>
          <w:tcPr>
            <w:tcW w:type="dxa" w:w="33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Product Schema, Breadcrumbs, FAQ Schema, Review markup</w:t>
            </w:r>
          </w:p>
        </w:tc>
        <w:tc>
          <w:tcPr>
            <w:tcW w:type="dxa" w:w="2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MEDIUM — brand repositioning in progress; schema supports new positioning</w:t>
            </w:r>
          </w:p>
        </w:tc>
      </w:tr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African Fair Trade Society</w:t>
            </w:r>
          </w:p>
        </w:tc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Content + service pages</w:t>
            </w:r>
          </w:p>
        </w:tc>
        <w:tc>
          <w:tcPr>
            <w:tcW w:type="dxa" w:w="33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Article Schema, FAQ Schema, Organization Schema, Breadcrumbs</w:t>
            </w:r>
          </w:p>
        </w:tc>
        <w:tc>
          <w:tcPr>
            <w:tcW w:type="dxa" w:w="2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MEDIUM — nonprofit niche has less SERP competition</w:t>
            </w:r>
          </w:p>
        </w:tc>
      </w:tr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Halal VPN</w:t>
            </w:r>
          </w:p>
        </w:tc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Blog + product pages</w:t>
            </w:r>
          </w:p>
        </w:tc>
        <w:tc>
          <w:tcPr>
            <w:tcW w:type="dxa" w:w="33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Article Schema, HowTo (setup guides), FAQ Schema, Comparison Tables, Pros &amp; Cons</w:t>
            </w:r>
          </w:p>
        </w:tc>
        <w:tc>
          <w:tcPr>
            <w:tcW w:type="dxa" w:w="28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HIGH — VPN is hyper-competitive; rich results are essential for visibility</w:t>
            </w:r>
          </w:p>
        </w:tc>
      </w:tr>
    </w:tbl>
    <w:p>
      <w:r>
        <w:br w:type="page"/>
      </w:r>
    </w:p>
    <w:p>
      <w:pPr>
        <w:pStyle w:val="Heading1"/>
        <w:spacing w:before="360" w:after="200"/>
      </w:pPr>
      <w:r>
        <w:rPr>
          <w:rFonts w:ascii="Arial" w:cs="Arial" w:eastAsia="Arial" w:hAnsi="Arial"/>
          <w:b/>
          <w:bCs/>
          <w:color w:val="1A5276"/>
          <w:sz w:val="32"/>
          <w:szCs w:val="32"/>
        </w:rPr>
        <w:t xml:space="preserve">7. Technical Specifications</w:t>
      </w:r>
    </w:p>
    <w:p>
      <w:pPr>
        <w:pStyle w:val="Heading2"/>
        <w:spacing w:before="280" w:after="160"/>
      </w:pPr>
      <w:r>
        <w:rPr>
          <w:rFonts w:ascii="Arial" w:cs="Arial" w:eastAsia="Arial" w:hAnsi="Arial"/>
          <w:b/>
          <w:bCs/>
          <w:color w:val="2E86C1"/>
          <w:sz w:val="26"/>
          <w:szCs w:val="26"/>
        </w:rPr>
        <w:t xml:space="preserve">7.1 Schema Injection Method</w:t>
      </w:r>
    </w:p>
    <w:p>
      <w:pPr>
        <w:spacing w:after="160"/>
      </w:pPr>
      <w:r>
        <w:rPr>
          <w:rFonts w:ascii="Arial" w:cs="Arial" w:eastAsia="Arial" w:hAnsi="Arial"/>
          <w:b w:val="false"/>
          <w:bCs w:val="false"/>
          <w:color w:val="333333"/>
          <w:sz w:val="21"/>
          <w:szCs w:val="21"/>
        </w:rPr>
        <w:t xml:space="preserve">All schema markup is injected as </w:t>
      </w:r>
      <w:r>
        <w:rPr>
          <w:rFonts w:ascii="Arial" w:cs="Arial" w:eastAsia="Arial" w:hAnsi="Arial"/>
          <w:b/>
          <w:bCs/>
          <w:color w:val="333333"/>
          <w:sz w:val="21"/>
          <w:szCs w:val="21"/>
        </w:rPr>
        <w:t xml:space="preserve">JSON-LD in the &lt;head&gt; section</w:t>
      </w:r>
      <w:r>
        <w:rPr>
          <w:rFonts w:ascii="Arial" w:cs="Arial" w:eastAsia="Arial" w:hAnsi="Arial"/>
          <w:color w:val="333333"/>
          <w:sz w:val="21"/>
          <w:szCs w:val="21"/>
        </w:rPr>
        <w:t xml:space="preserve"> of each page. This is Google’s recommended format and has several advantages over inline Microdata or RDFa: it is completely separate from the visible HTML, it can be added/removed without touching content, and it’s easier to validate and debug.</w:t>
      </w:r>
    </w:p>
    <w:p>
      <w:pPr>
        <w:pStyle w:val="Heading2"/>
        <w:spacing w:before="280" w:after="160"/>
      </w:pPr>
      <w:r>
        <w:rPr>
          <w:rFonts w:ascii="Arial" w:cs="Arial" w:eastAsia="Arial" w:hAnsi="Arial"/>
          <w:b/>
          <w:bCs/>
          <w:color w:val="2E86C1"/>
          <w:sz w:val="26"/>
          <w:szCs w:val="26"/>
        </w:rPr>
        <w:t xml:space="preserve">7.2 WordPress Bridge Plugin Updates</w:t>
      </w:r>
    </w:p>
    <w:p>
      <w:pPr>
        <w:spacing w:after="160"/>
        <w:jc w:val="left"/>
      </w:pPr>
      <w:r>
        <w:rPr>
          <w:rFonts w:ascii="Arial" w:cs="Arial" w:eastAsia="Arial" w:hAnsi="Arial"/>
          <w:color w:val="333333"/>
          <w:sz w:val="21"/>
          <w:szCs w:val="21"/>
        </w:rPr>
        <w:t xml:space="preserve">The existing IGNY8 WP bridge plugin requires the following additions:</w:t>
      </w:r>
    </w:p>
    <w:p>
      <w:pPr>
        <w:spacing w:after="160"/>
      </w:pPr>
      <w:r>
        <w:rPr>
          <w:rFonts w:ascii="Arial" w:cs="Arial" w:eastAsia="Arial" w:hAnsi="Arial"/>
          <w:b/>
          <w:bCs/>
          <w:color w:val="333333"/>
          <w:sz w:val="21"/>
          <w:szCs w:val="21"/>
        </w:rPr>
        <w:t xml:space="preserve">Schema Storage: </w:t>
      </w:r>
      <w:r>
        <w:rPr>
          <w:rFonts w:ascii="Arial" w:cs="Arial" w:eastAsia="Arial" w:hAnsi="Arial"/>
          <w:color w:val="333333"/>
          <w:sz w:val="21"/>
          <w:szCs w:val="21"/>
        </w:rPr>
        <w:t xml:space="preserve">New wp_postmeta keys for storing generated schema per post (igny8_schema_faq, igny8_schema_howto, igny8_schema_article, etc.).</w:t>
      </w:r>
    </w:p>
    <w:p>
      <w:pPr>
        <w:spacing w:after="160"/>
      </w:pPr>
      <w:r>
        <w:rPr>
          <w:rFonts w:ascii="Arial" w:cs="Arial" w:eastAsia="Arial" w:hAnsi="Arial"/>
          <w:b/>
          <w:bCs/>
          <w:color w:val="333333"/>
          <w:sz w:val="21"/>
          <w:szCs w:val="21"/>
        </w:rPr>
        <w:t xml:space="preserve">Schema Renderer: </w:t>
      </w:r>
      <w:r>
        <w:rPr>
          <w:rFonts w:ascii="Arial" w:cs="Arial" w:eastAsia="Arial" w:hAnsi="Arial"/>
          <w:color w:val="333333"/>
          <w:sz w:val="21"/>
          <w:szCs w:val="21"/>
        </w:rPr>
        <w:t xml:space="preserve">wp_head action hook that outputs all stored JSON-LD blocks for the current page.</w:t>
      </w:r>
    </w:p>
    <w:p>
      <w:pPr>
        <w:spacing w:after="160"/>
      </w:pPr>
      <w:r>
        <w:rPr>
          <w:rFonts w:ascii="Arial" w:cs="Arial" w:eastAsia="Arial" w:hAnsi="Arial"/>
          <w:b/>
          <w:bCs/>
          <w:color w:val="333333"/>
          <w:sz w:val="21"/>
          <w:szCs w:val="21"/>
        </w:rPr>
        <w:t xml:space="preserve">On-Page Element Renderer: </w:t>
      </w:r>
      <w:r>
        <w:rPr>
          <w:rFonts w:ascii="Arial" w:cs="Arial" w:eastAsia="Arial" w:hAnsi="Arial"/>
          <w:color w:val="333333"/>
          <w:sz w:val="21"/>
          <w:szCs w:val="21"/>
        </w:rPr>
        <w:t xml:space="preserve">Shortcodes and/or Gutenberg blocks for FAQ section, TOC, TL;DR box, and definition blocks. These render below or above content without modifying the post_content field.</w:t>
      </w:r>
    </w:p>
    <w:p>
      <w:pPr>
        <w:spacing w:after="160"/>
      </w:pPr>
      <w:r>
        <w:rPr>
          <w:rFonts w:ascii="Arial" w:cs="Arial" w:eastAsia="Arial" w:hAnsi="Arial"/>
          <w:b/>
          <w:bCs/>
          <w:color w:val="333333"/>
          <w:sz w:val="21"/>
          <w:szCs w:val="21"/>
        </w:rPr>
        <w:t xml:space="preserve">Bulk API Endpoint: </w:t>
      </w:r>
      <w:r>
        <w:rPr>
          <w:rFonts w:ascii="Arial" w:cs="Arial" w:eastAsia="Arial" w:hAnsi="Arial"/>
          <w:color w:val="333333"/>
          <w:sz w:val="21"/>
          <w:szCs w:val="21"/>
        </w:rPr>
        <w:t xml:space="preserve">REST API endpoint for IGNY8 to push schema updates for multiple posts in a single request.</w:t>
      </w:r>
    </w:p>
    <w:p>
      <w:pPr>
        <w:pStyle w:val="Heading2"/>
        <w:spacing w:before="280" w:after="160"/>
      </w:pPr>
      <w:r>
        <w:rPr>
          <w:rFonts w:ascii="Arial" w:cs="Arial" w:eastAsia="Arial" w:hAnsi="Arial"/>
          <w:b/>
          <w:bCs/>
          <w:color w:val="2E86C1"/>
          <w:sz w:val="26"/>
          <w:szCs w:val="26"/>
        </w:rPr>
        <w:t xml:space="preserve">7.3 Validation Pipeline</w:t>
      </w:r>
    </w:p>
    <w:p>
      <w:pPr>
        <w:spacing w:after="160"/>
        <w:jc w:val="left"/>
      </w:pPr>
      <w:r>
        <w:rPr>
          <w:rFonts w:ascii="Arial" w:cs="Arial" w:eastAsia="Arial" w:hAnsi="Arial"/>
          <w:color w:val="333333"/>
          <w:sz w:val="21"/>
          <w:szCs w:val="21"/>
        </w:rPr>
        <w:t xml:space="preserve">Every generated schema passes through a three-step validation before deployment:</w:t>
      </w:r>
    </w:p>
    <w:p>
      <w:pPr>
        <w:spacing w:after="160"/>
      </w:pPr>
      <w:r>
        <w:rPr>
          <w:rFonts w:ascii="Arial" w:cs="Arial" w:eastAsia="Arial" w:hAnsi="Arial"/>
          <w:b/>
          <w:bCs/>
          <w:color w:val="333333"/>
          <w:sz w:val="21"/>
          <w:szCs w:val="21"/>
        </w:rPr>
        <w:t xml:space="preserve">1. Structural Validation: </w:t>
      </w:r>
      <w:r>
        <w:rPr>
          <w:rFonts w:ascii="Arial" w:cs="Arial" w:eastAsia="Arial" w:hAnsi="Arial"/>
          <w:color w:val="333333"/>
          <w:sz w:val="21"/>
          <w:szCs w:val="21"/>
        </w:rPr>
        <w:t xml:space="preserve">JSON-LD syntax check and schema.org type conformance.</w:t>
      </w:r>
    </w:p>
    <w:p>
      <w:pPr>
        <w:spacing w:after="160"/>
      </w:pPr>
      <w:r>
        <w:rPr>
          <w:rFonts w:ascii="Arial" w:cs="Arial" w:eastAsia="Arial" w:hAnsi="Arial"/>
          <w:b/>
          <w:bCs/>
          <w:color w:val="333333"/>
          <w:sz w:val="21"/>
          <w:szCs w:val="21"/>
        </w:rPr>
        <w:t xml:space="preserve">2. Google Rich Results Test: </w:t>
      </w:r>
      <w:r>
        <w:rPr>
          <w:rFonts w:ascii="Arial" w:cs="Arial" w:eastAsia="Arial" w:hAnsi="Arial"/>
          <w:color w:val="333333"/>
          <w:sz w:val="21"/>
          <w:szCs w:val="21"/>
        </w:rPr>
        <w:t xml:space="preserve">Automated API call to verify rich result eligibility and catch warnings.</w:t>
      </w:r>
    </w:p>
    <w:p>
      <w:pPr>
        <w:spacing w:after="160"/>
      </w:pPr>
      <w:r>
        <w:rPr>
          <w:rFonts w:ascii="Arial" w:cs="Arial" w:eastAsia="Arial" w:hAnsi="Arial"/>
          <w:b/>
          <w:bCs/>
          <w:color w:val="333333"/>
          <w:sz w:val="21"/>
          <w:szCs w:val="21"/>
        </w:rPr>
        <w:t xml:space="preserve">3. Live Monitoring: </w:t>
      </w:r>
      <w:r>
        <w:rPr>
          <w:rFonts w:ascii="Arial" w:cs="Arial" w:eastAsia="Arial" w:hAnsi="Arial"/>
          <w:color w:val="333333"/>
          <w:sz w:val="21"/>
          <w:szCs w:val="21"/>
        </w:rPr>
        <w:t xml:space="preserve">Post-deployment, GSC integration monitors for schema errors/warnings and triggers alerts in IGNY8 dashboard.</w:t>
      </w:r>
    </w:p>
    <w:p>
      <w:r>
        <w:br w:type="page"/>
      </w:r>
    </w:p>
    <w:p>
      <w:pPr>
        <w:pStyle w:val="Heading1"/>
        <w:spacing w:before="360" w:after="200"/>
      </w:pPr>
      <w:r>
        <w:rPr>
          <w:rFonts w:ascii="Arial" w:cs="Arial" w:eastAsia="Arial" w:hAnsi="Arial"/>
          <w:b/>
          <w:bCs/>
          <w:color w:val="1A5276"/>
          <w:sz w:val="32"/>
          <w:szCs w:val="32"/>
        </w:rPr>
        <w:t xml:space="preserve">8. Rollout Plan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600"/>
        <w:gridCol w:w="1600"/>
        <w:gridCol w:w="3560"/>
        <w:gridCol w:w="2600"/>
      </w:tblGrid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Phase</w:t>
            </w:r>
          </w:p>
        </w:tc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Focus</w:t>
            </w:r>
          </w:p>
        </w:tc>
        <w:tc>
          <w:tcPr>
            <w:tcW w:type="dxa" w:w="35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Deliverables</w:t>
            </w:r>
          </w:p>
        </w:tc>
        <w:tc>
          <w:tcPr>
            <w:tcW w:type="dxa" w:w="2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1A527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Outcome</w:t>
            </w:r>
          </w:p>
        </w:tc>
      </w:tr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Phase 1 (Week 1–2)</w:t>
            </w:r>
          </w:p>
        </w:tc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Foundation Schemas</w:t>
            </w:r>
          </w:p>
        </w:tc>
        <w:tc>
          <w:tcPr>
            <w:tcW w:type="dxa" w:w="35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FAQ Schema + Article Schema + Breadcrumbs + Author/Person Schema in new content pipeline; WP bridge plugin schema renderer</w:t>
            </w:r>
          </w:p>
        </w:tc>
        <w:tc>
          <w:tcPr>
            <w:tcW w:type="dxa" w:w="2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All new IGNY8-generated content ships with 4 base schemas</w:t>
            </w:r>
          </w:p>
        </w:tc>
      </w:tr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Phase 2 (Week 3–4)</w:t>
            </w:r>
          </w:p>
        </w:tc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On-Page Elements</w:t>
            </w:r>
          </w:p>
        </w:tc>
        <w:tc>
          <w:tcPr>
            <w:tcW w:type="dxa" w:w="35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TL;DR box generation, TOC auto-generation, definition blocks, PAA subheading integration, comparison table formatting</w:t>
            </w:r>
          </w:p>
        </w:tc>
        <w:tc>
          <w:tcPr>
            <w:tcW w:type="dxa" w:w="2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New content includes all non-schema SERP elements</w:t>
            </w:r>
          </w:p>
        </w:tc>
      </w:tr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Phase 3 (Week 5–6)</w:t>
            </w:r>
          </w:p>
        </w:tc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Advanced Schemas</w:t>
            </w:r>
          </w:p>
        </w:tc>
        <w:tc>
          <w:tcPr>
            <w:tcW w:type="dxa" w:w="35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HowTo Schema, Review/Rating, Pros &amp; Cons, Video Schema detection, Speakable</w:t>
            </w:r>
          </w:p>
        </w:tc>
        <w:tc>
          <w:tcPr>
            <w:tcW w:type="dxa" w:w="2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Full schema coverage for all content types</w:t>
            </w:r>
          </w:p>
        </w:tc>
      </w:tr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Phase 4 (Week 7–8)</w:t>
            </w:r>
          </w:p>
        </w:tc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Retroactive Engine</w:t>
            </w:r>
          </w:p>
        </w:tc>
        <w:tc>
          <w:tcPr>
            <w:tcW w:type="dxa" w:w="35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Site scanner, content type classifier, bulk schema generator, review dashboard, bulk push via WP bridge</w:t>
            </w:r>
          </w:p>
        </w:tc>
        <w:tc>
          <w:tcPr>
            <w:tcW w:type="dxa" w:w="2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Existing client sites can be enhanced without content rewrites</w:t>
            </w:r>
          </w:p>
        </w:tc>
      </w:tr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Phase 5 (Week 9–10)</w:t>
            </w:r>
          </w:p>
        </w:tc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Internal Linking Module</w:t>
            </w:r>
          </w:p>
        </w:tc>
        <w:tc>
          <w:tcPr>
            <w:tcW w:type="dxa" w:w="35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Site content index, relevance matching, anchor text generation, auto-insertion</w:t>
            </w:r>
          </w:p>
        </w:tc>
        <w:tc>
          <w:tcPr>
            <w:tcW w:type="dxa" w:w="2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shd w:fill="F2F3F4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Automated contextual internal linking on new + existing content</w:t>
            </w:r>
          </w:p>
        </w:tc>
      </w:tr>
      <w:tr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Phase 6 (Ongoing)</w:t>
            </w:r>
          </w:p>
        </w:tc>
        <w:tc>
          <w:tcPr>
            <w:tcW w:type="dxa" w:w="1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000000"/>
                <w:sz w:val="20"/>
                <w:szCs w:val="20"/>
              </w:rPr>
              <w:t xml:space="preserve">Monitoring &amp; Optimization</w:t>
            </w:r>
          </w:p>
        </w:tc>
        <w:tc>
          <w:tcPr>
            <w:tcW w:type="dxa" w:w="356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GSC integration for schema error monitoring, rich result appearance tracking, CTR impact reporting</w:t>
            </w:r>
          </w:p>
        </w:tc>
        <w:tc>
          <w:tcPr>
            <w:tcW w:type="dxa" w:w="2600"/>
            <w:tcBorders>
              <w:top w:val="single" w:color="D5D8DC" w:sz="1"/>
              <w:left w:val="single" w:color="D5D8DC" w:sz="1"/>
              <w:bottom w:val="single" w:color="D5D8DC" w:sz="1"/>
              <w:right w:val="single" w:color="D5D8D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20"/>
                <w:szCs w:val="20"/>
              </w:rPr>
              <w:t xml:space="preserve">Closed feedback loop: measure → optimize → report</w:t>
            </w:r>
          </w:p>
        </w:tc>
      </w:tr>
    </w:tbl>
    <w:p>
      <w:pPr>
        <w:spacing w:before="200" w:after="200"/>
      </w:pPr>
    </w:p>
    <w:p>
      <w:pPr>
        <w:pStyle w:val="Heading1"/>
        <w:spacing w:before="360" w:after="200"/>
      </w:pPr>
      <w:r>
        <w:rPr>
          <w:rFonts w:ascii="Arial" w:cs="Arial" w:eastAsia="Arial" w:hAnsi="Arial"/>
          <w:b/>
          <w:bCs/>
          <w:color w:val="1A5276"/>
          <w:sz w:val="32"/>
          <w:szCs w:val="32"/>
        </w:rPr>
        <w:t xml:space="preserve">9. Competitive Advantage Statement</w:t>
      </w:r>
    </w:p>
    <w:p>
      <w:pPr>
        <w:spacing w:after="160"/>
      </w:pPr>
      <w:r>
        <w:rPr>
          <w:rFonts w:ascii="Arial" w:cs="Arial" w:eastAsia="Arial" w:hAnsi="Arial"/>
          <w:color w:val="333333"/>
          <w:sz w:val="21"/>
          <w:szCs w:val="21"/>
        </w:rPr>
        <w:t xml:space="preserve">Most SEO tools and content platforms stop at content generation. They produce articles and blog posts but leave structured data, rich result optimization, and on-page SERP elements entirely to the user — who almost never implements them.</w:t>
      </w:r>
    </w:p>
    <w:p>
      <w:pPr>
        <w:spacing w:after="160"/>
      </w:pPr>
      <w:r>
        <w:rPr>
          <w:rFonts w:ascii="Arial" w:cs="Arial" w:eastAsia="Arial" w:hAnsi="Arial"/>
          <w:b/>
          <w:bCs/>
          <w:color w:val="333333"/>
          <w:sz w:val="21"/>
          <w:szCs w:val="21"/>
        </w:rPr>
        <w:t xml:space="preserve">IGNY8’s Rich Schema Module makes this automatic.</w:t>
      </w:r>
      <w:r>
        <w:rPr>
          <w:rFonts w:ascii="Arial" w:cs="Arial" w:eastAsia="Arial" w:hAnsi="Arial"/>
          <w:color w:val="333333"/>
          <w:sz w:val="21"/>
          <w:szCs w:val="21"/>
        </w:rPr>
        <w:t xml:space="preserve"> Every piece of content that ships from IGNY8 arrives pre-optimized for rich results, with all applicable schemas, on-page elements, and SERP enhancement features already in place. The retroactive engine extends this to the user’s entire existing site.</w:t>
      </w:r>
    </w:p>
    <w:p>
      <w:pPr>
        <w:spacing w:after="160"/>
      </w:pPr>
      <w:r>
        <w:rPr>
          <w:rFonts w:ascii="Arial" w:cs="Arial" w:eastAsia="Arial" w:hAnsi="Arial"/>
          <w:b/>
          <w:bCs/>
          <w:i/>
          <w:iCs/>
          <w:color w:val="333333"/>
          <w:sz w:val="21"/>
          <w:szCs w:val="21"/>
        </w:rPr>
        <w:t xml:space="preserve">This is a defensible product differentiator. </w:t>
      </w:r>
      <w:r>
        <w:rPr>
          <w:rFonts w:ascii="Arial" w:cs="Arial" w:eastAsia="Arial" w:hAnsi="Arial"/>
          <w:color w:val="333333"/>
          <w:sz w:val="21"/>
          <w:szCs w:val="21"/>
        </w:rPr>
        <w:t xml:space="preserve">No competing platform (SurferSEO, Jasper, MarketMuse, Frase) offers automated schema generation and injection as part of their content pipeline. IGNY8 delivers content that is not just well-written but structurally optimized for maximum SERP visibility from day one.</w:t>
      </w:r>
    </w:p>
    <w:sectPr>
      <w:headerReference w:type="default" r:id="rId6"/>
      <w:footerReference w:type="default" r:id="rId7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tabs>
        <w:tab w:val="right" w:pos="9026"/>
      </w:tabs>
    </w:pPr>
    <w:r>
      <w:rPr>
        <w:rFonts w:ascii="Arial" w:cs="Arial" w:eastAsia="Arial" w:hAnsi="Arial"/>
        <w:color w:val="666666"/>
        <w:sz w:val="16"/>
        <w:szCs w:val="16"/>
      </w:rPr>
      <w:t xml:space="preserve">Confidential — IGNY8 Internal</w:t>
    </w:r>
    <w:r>
      <w:rPr>
        <w:rFonts w:ascii="Arial" w:cs="Arial" w:eastAsia="Arial" w:hAnsi="Arial"/>
      </w:rPr>
      <w:t xml:space="preserve">	</w:t>
    </w:r>
    <w:r>
      <w:rPr>
        <w:rFonts w:ascii="Arial" w:cs="Arial" w:eastAsia="Arial" w:hAnsi="Arial"/>
        <w:color w:val="666666"/>
        <w:sz w:val="16"/>
        <w:szCs w:val="16"/>
      </w:rPr>
      <w:t xml:space="preserve">Page </w:t>
    </w:r>
    <w:r>
      <w:rPr>
        <w:rFonts w:ascii="Arial" w:cs="Arial" w:eastAsia="Arial" w:hAnsi="Arial"/>
        <w:color w:val="666666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Arial" w:cs="Arial" w:eastAsia="Arial" w:hAnsi="Arial"/>
        <w:i/>
        <w:iCs/>
        <w:color w:val="666666"/>
        <w:sz w:val="16"/>
        <w:szCs w:val="16"/>
      </w:rPr>
      <w:t xml:space="preserve">IGNY8 Rich Schema Module</w:t>
    </w:r>
    <w:r>
      <w:rPr>
        <w:rFonts w:ascii="Arial" w:cs="Arial" w:eastAsia="Arial" w:hAnsi="Arial"/>
        <w:color w:val="D5D8DC"/>
        <w:sz w:val="16"/>
        <w:szCs w:val="16"/>
      </w:rPr>
      <w:t xml:space="preserve">  |  </w:t>
    </w:r>
    <w:r>
      <w:rPr>
        <w:rFonts w:ascii="Arial" w:cs="Arial" w:eastAsia="Arial" w:hAnsi="Arial"/>
        <w:color w:val="666666"/>
        <w:sz w:val="16"/>
        <w:szCs w:val="16"/>
      </w:rPr>
      <w:t xml:space="preserve">Alorig Systems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360" w:after="200"/>
      <w:outlineLvl w:val="0"/>
    </w:pPr>
    <w:rPr>
      <w:rFonts w:ascii="Arial" w:cs="Arial" w:eastAsia="Arial" w:hAnsi="Arial"/>
      <w:b/>
      <w:bCs/>
      <w:color w:val="1A5276"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280" w:after="160"/>
      <w:outlineLvl w:val="1"/>
    </w:pPr>
    <w:rPr>
      <w:rFonts w:ascii="Arial" w:cs="Arial" w:eastAsia="Arial" w:hAnsi="Arial"/>
      <w:b/>
      <w:bCs/>
      <w:color w:val="2E86C1"/>
      <w:sz w:val="26"/>
      <w:szCs w:val="26"/>
    </w:rPr>
  </w:style>
  <w:style w:type="paragraph" w:styleId="Heading3">
    <w:name w:val="Heading 3"/>
    <w:basedOn w:val="Normal"/>
    <w:next w:val="Normal"/>
    <w:qFormat/>
    <w:pPr>
      <w:spacing w:before="200" w:after="120"/>
      <w:outlineLvl w:val="2"/>
    </w:pPr>
    <w:rPr>
      <w:rFonts w:ascii="Arial" w:cs="Arial" w:eastAsia="Arial" w:hAnsi="Arial"/>
      <w:b/>
      <w:bCs/>
      <w:color w:val="1A5276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2026-03-05T22:54:06.084Z</dcterms:created>
  <dcterms:modified xsi:type="dcterms:W3CDTF">2026-03-05T22:54:06.085Z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